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90B5" w14:textId="77777777" w:rsidR="009C0465" w:rsidRPr="00F85F27" w:rsidRDefault="00BF3206" w:rsidP="009C0465">
      <w:pPr>
        <w:pStyle w:val="Nessunaspaziatura"/>
        <w:jc w:val="center"/>
        <w:rPr>
          <w:rStyle w:val="normaltextrun"/>
          <w:rFonts w:ascii="Montserrat" w:hAnsi="Montserrat" w:cs="Calibri"/>
          <w:b/>
          <w:bCs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MAPECOAT TNS REMOVE</w:t>
      </w:r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SYSTEM</w:t>
      </w:r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 xml:space="preserve">PER IL MATCH DI PLAY-OFF COPPA DAVIS 2020 </w:t>
      </w:r>
    </w:p>
    <w:p w14:paraId="00CF542A" w14:textId="303535D4" w:rsidR="004E613C" w:rsidRDefault="00BF3206" w:rsidP="00F85F27">
      <w:pPr>
        <w:pStyle w:val="Nessunaspaziatura"/>
        <w:jc w:val="center"/>
        <w:rPr>
          <w:rStyle w:val="normaltextrun"/>
          <w:rFonts w:ascii="Montserrat" w:hAnsi="Montserrat" w:cs="Calibri"/>
          <w:b/>
          <w:bCs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POLONIA-HONG KONG</w:t>
      </w:r>
    </w:p>
    <w:p w14:paraId="045ECCD4" w14:textId="77777777" w:rsidR="00BA0B8D" w:rsidRPr="00F85F27" w:rsidRDefault="00BA0B8D" w:rsidP="00F85F27">
      <w:pPr>
        <w:pStyle w:val="Nessunaspaziatura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46D487D5" w14:textId="6445F00A" w:rsidR="00BF3206" w:rsidRPr="00F85F27" w:rsidRDefault="00BF3206" w:rsidP="004E613C">
      <w:pPr>
        <w:pStyle w:val="Nessunaspaziatura"/>
        <w:jc w:val="center"/>
        <w:rPr>
          <w:rFonts w:ascii="Montserrat" w:hAnsi="Montserrat" w:cs="Arial"/>
          <w:i/>
          <w:iCs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i/>
          <w:iCs/>
          <w:sz w:val="20"/>
          <w:szCs w:val="20"/>
        </w:rPr>
        <w:t>La tecnologia Mapei Sports System Technology</w:t>
      </w:r>
      <w:r w:rsidRPr="00F85F27">
        <w:rPr>
          <w:rStyle w:val="apple-converted-space"/>
          <w:rFonts w:ascii="Montserrat" w:hAnsi="Montserrat" w:cs="Calibri"/>
          <w:i/>
          <w:i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i/>
          <w:iCs/>
          <w:sz w:val="20"/>
          <w:szCs w:val="20"/>
        </w:rPr>
        <w:t>ha permesso di</w:t>
      </w:r>
      <w:r w:rsidRPr="00F85F27">
        <w:rPr>
          <w:rStyle w:val="apple-converted-space"/>
          <w:rFonts w:ascii="Montserrat" w:hAnsi="Montserrat" w:cs="Calibri"/>
          <w:i/>
          <w:i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i/>
          <w:iCs/>
          <w:sz w:val="20"/>
          <w:szCs w:val="20"/>
        </w:rPr>
        <w:t>installare in tempi brevi la superficie di gioco per la qualificazione</w:t>
      </w:r>
      <w:r w:rsidRPr="00F85F27">
        <w:rPr>
          <w:rStyle w:val="apple-converted-space"/>
          <w:rFonts w:ascii="Montserrat" w:hAnsi="Montserrat" w:cs="Calibri"/>
          <w:i/>
          <w:i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i/>
          <w:iCs/>
          <w:sz w:val="20"/>
          <w:szCs w:val="20"/>
        </w:rPr>
        <w:t>alla massima competizione</w:t>
      </w:r>
      <w:r w:rsidRPr="00F85F27">
        <w:rPr>
          <w:rStyle w:val="apple-converted-space"/>
          <w:rFonts w:ascii="Montserrat" w:hAnsi="Montserrat" w:cs="Calibri"/>
          <w:i/>
          <w:i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i/>
          <w:iCs/>
          <w:sz w:val="20"/>
          <w:szCs w:val="20"/>
        </w:rPr>
        <w:t>mondiale tra squadre nazionali di tennis maschile</w:t>
      </w:r>
    </w:p>
    <w:p w14:paraId="7BACF633" w14:textId="615BF91A" w:rsidR="009C0465" w:rsidRDefault="009C0465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20705734" w14:textId="77777777" w:rsidR="002945CC" w:rsidRPr="00F85F27" w:rsidRDefault="002945CC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626BD623" w14:textId="1F6B608C" w:rsidR="00BF3206" w:rsidRPr="00F85F27" w:rsidRDefault="00BF3206" w:rsidP="00E62407">
      <w:pPr>
        <w:pStyle w:val="Nessunaspaziatura"/>
        <w:rPr>
          <w:rStyle w:val="normaltextrun"/>
          <w:rFonts w:ascii="Montserrat" w:hAnsi="Montserrat" w:cs="Calibri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>Lo scorso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6 e 7 marzo a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Start"/>
      <w:r w:rsidRPr="00F85F27">
        <w:rPr>
          <w:rStyle w:val="spellingerror"/>
          <w:rFonts w:ascii="Montserrat" w:hAnsi="Montserrat" w:cs="Calibri"/>
          <w:sz w:val="20"/>
          <w:szCs w:val="20"/>
        </w:rPr>
        <w:t>Kalisz</w:t>
      </w:r>
      <w:proofErr w:type="spellEnd"/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si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è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disputato il match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di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play-off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Coppa Davis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2020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Polonia-Hong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Kong, di cui Mapei è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stata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Start"/>
      <w:r w:rsidRPr="00F85F27">
        <w:rPr>
          <w:rStyle w:val="spellingerror"/>
          <w:rFonts w:ascii="Montserrat" w:hAnsi="Montserrat" w:cs="Calibri"/>
          <w:b/>
          <w:bCs/>
          <w:sz w:val="20"/>
          <w:szCs w:val="20"/>
        </w:rPr>
        <w:t>Official</w:t>
      </w:r>
      <w:proofErr w:type="spellEnd"/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Partner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e per la quale ha fornito le soluzioni per la realizzazione della superficie di gioco.</w:t>
      </w:r>
    </w:p>
    <w:p w14:paraId="7563AEDA" w14:textId="77777777" w:rsidR="005130D0" w:rsidRPr="00F85F27" w:rsidRDefault="005130D0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5E02DBCC" w14:textId="7DD4BDA9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La scelta della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Federazione Tennis polacca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 e dei loro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tecnici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è stata quella di utilizzare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MAPECOAT TNS REMOVE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, il sistema multistrato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removibile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a base di resine acriliche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in combinazione con un tappetino</w:t>
      </w:r>
      <w:r w:rsidR="00B07A37" w:rsidRPr="00F85F27">
        <w:rPr>
          <w:rStyle w:val="normaltextrun"/>
          <w:rFonts w:ascii="Montserrat" w:hAnsi="Montserrat" w:cs="Calibri"/>
          <w:sz w:val="20"/>
          <w:szCs w:val="20"/>
        </w:rPr>
        <w:t xml:space="preserve"> </w:t>
      </w:r>
      <w:proofErr w:type="spellStart"/>
      <w:r w:rsidR="00B07A37" w:rsidRPr="00F85F27">
        <w:rPr>
          <w:rStyle w:val="normaltextrun"/>
          <w:rFonts w:ascii="Montserrat" w:hAnsi="Montserrat" w:cs="Calibri"/>
          <w:sz w:val="20"/>
          <w:szCs w:val="20"/>
        </w:rPr>
        <w:t>i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n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End"/>
      <w:r w:rsidRPr="00F85F27">
        <w:rPr>
          <w:rStyle w:val="normaltextrun"/>
          <w:rFonts w:ascii="Montserrat" w:hAnsi="Montserrat" w:cs="Calibri"/>
          <w:sz w:val="20"/>
          <w:szCs w:val="20"/>
        </w:rPr>
        <w:t>PVC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Start"/>
      <w:r w:rsidRPr="00F85F27">
        <w:rPr>
          <w:rStyle w:val="spellingerror"/>
          <w:rFonts w:ascii="Montserrat" w:hAnsi="Montserrat" w:cs="Calibri"/>
          <w:sz w:val="20"/>
          <w:szCs w:val="20"/>
        </w:rPr>
        <w:t>autoposante</w:t>
      </w:r>
      <w:proofErr w:type="spellEnd"/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Start"/>
      <w:r w:rsidRPr="00F85F27">
        <w:rPr>
          <w:rStyle w:val="spellingerror"/>
          <w:rFonts w:ascii="Montserrat" w:hAnsi="Montserrat" w:cs="Calibri"/>
          <w:sz w:val="20"/>
          <w:szCs w:val="20"/>
        </w:rPr>
        <w:t>fibrorinforzato</w:t>
      </w:r>
      <w:proofErr w:type="spellEnd"/>
      <w:r w:rsidRPr="00F85F27">
        <w:rPr>
          <w:rStyle w:val="normaltextrun"/>
          <w:rFonts w:ascii="Montserrat" w:hAnsi="Montserrat" w:cs="Calibri"/>
          <w:sz w:val="20"/>
          <w:szCs w:val="20"/>
        </w:rPr>
        <w:t>,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per la realizzazione di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campi da tennis</w:t>
      </w:r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ad uso professionale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.</w:t>
      </w:r>
    </w:p>
    <w:p w14:paraId="2EB70E35" w14:textId="058A45F6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3FA8CCB6" w14:textId="24AAA584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>La facilità di installazione e rimozione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del sistema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permette la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realizzazione</w:t>
      </w:r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in tempi rapidi</w:t>
      </w:r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di campi da gioco per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eventi temporanei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indoor e outdoor, senza escludere la stessa soluzione per un eventuale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uso permanente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.</w:t>
      </w:r>
    </w:p>
    <w:p w14:paraId="49C24A91" w14:textId="419C86CE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3DB37E75" w14:textId="2CEC5C1D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>MAPECOAT TNS REMOVE può essere applicato su superfici esistenti già verniciate o su nuove pavimentazioni cementizie o in asfalto da rivestire. Consente, infine, di realizzare pavimentazioni sportive anche su superfici in calcestruzzo che presentano una relativa umidità di risalita.</w:t>
      </w:r>
    </w:p>
    <w:p w14:paraId="2A0729EB" w14:textId="02967EC2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6FDFE6EC" w14:textId="6289911F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Il sistema è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certificato ITF 3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 ed è disponibile in 24 colori o a richiesta con il sistema di colorazione automatico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Start"/>
      <w:r w:rsidRPr="00F85F27">
        <w:rPr>
          <w:rStyle w:val="spellingerror"/>
          <w:rFonts w:ascii="Montserrat" w:hAnsi="Montserrat" w:cs="Calibri"/>
          <w:sz w:val="20"/>
          <w:szCs w:val="20"/>
        </w:rPr>
        <w:t>ColorMap</w:t>
      </w:r>
      <w:proofErr w:type="spellEnd"/>
      <w:r w:rsidRPr="00F85F27">
        <w:rPr>
          <w:rStyle w:val="normaltextrun"/>
          <w:rFonts w:ascii="Montserrat" w:hAnsi="Montserrat" w:cs="Calibri"/>
          <w:sz w:val="20"/>
          <w:szCs w:val="20"/>
          <w:vertAlign w:val="superscript"/>
        </w:rPr>
        <w:t>®.</w:t>
      </w:r>
    </w:p>
    <w:p w14:paraId="7BAAE1AB" w14:textId="52913864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539F111B" w14:textId="61D5CE68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>Il sistema,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già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utilizzato in passato per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la realizzazione del campo da gioco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per le finali di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Fed Cup</w:t>
      </w:r>
      <w:r w:rsidRPr="00F85F27">
        <w:rPr>
          <w:rStyle w:val="apple-converted-space"/>
          <w:rFonts w:ascii="Montserrat" w:hAnsi="Montserrat" w:cs="Calibri"/>
          <w:b/>
          <w:bCs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2019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 a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proofErr w:type="spellStart"/>
      <w:r w:rsidRPr="00F85F27">
        <w:rPr>
          <w:rStyle w:val="spellingerror"/>
          <w:rFonts w:ascii="Montserrat" w:hAnsi="Montserrat" w:cs="Calibri"/>
          <w:sz w:val="20"/>
          <w:szCs w:val="20"/>
        </w:rPr>
        <w:t>Zielona</w:t>
      </w:r>
      <w:proofErr w:type="spellEnd"/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Gora, ha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ricevuto approvazione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dai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giudici arbitri per la resa del campo, senza un singolo difetto.</w:t>
      </w:r>
    </w:p>
    <w:p w14:paraId="18601F2A" w14:textId="4A39C5CC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>Anche i giocatori (vincitori e non) hanno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apprezzato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il sistema per il suo 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comfort di gioco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,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il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rimbalzo della palla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,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cambi di direzione rapidi e sicuri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e l’ottimo rapporto tra equilibrio e scivolata.</w:t>
      </w:r>
    </w:p>
    <w:p w14:paraId="3A984661" w14:textId="2565ECB1" w:rsidR="00BF3206" w:rsidRPr="00F85F27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52BDC3C4" w14:textId="2865C2FD" w:rsidR="00BA0B8D" w:rsidRDefault="00BF3206" w:rsidP="00E62407">
      <w:pPr>
        <w:pStyle w:val="Nessunaspaziatura"/>
        <w:rPr>
          <w:rFonts w:ascii="Montserrat" w:hAnsi="Montserrat" w:cs="Arial"/>
          <w:sz w:val="20"/>
          <w:szCs w:val="20"/>
        </w:rPr>
      </w:pPr>
      <w:r w:rsidRPr="00F85F27">
        <w:rPr>
          <w:rStyle w:val="normaltextrun"/>
          <w:rFonts w:ascii="Montserrat" w:hAnsi="Montserrat" w:cs="Calibri"/>
          <w:sz w:val="20"/>
          <w:szCs w:val="20"/>
        </w:rPr>
        <w:t>Il sistema MAPECOAT TNS REMOVE sarà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nuovamente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utilizzato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in occasione della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Fed Cup femminile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ad aprile in Bytom e</w:t>
      </w:r>
      <w:r w:rsidRPr="00F85F27">
        <w:rPr>
          <w:rStyle w:val="apple-converted-space"/>
          <w:rFonts w:ascii="Montserrat" w:hAnsi="Montserrat" w:cs="Calibri"/>
          <w:sz w:val="20"/>
          <w:szCs w:val="20"/>
        </w:rPr>
        <w:t> 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 xml:space="preserve">della </w:t>
      </w:r>
      <w:r w:rsidR="005130D0"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>Davis Cup</w:t>
      </w:r>
      <w:r w:rsidRPr="00F85F27">
        <w:rPr>
          <w:rStyle w:val="normaltextrun"/>
          <w:rFonts w:ascii="Montserrat" w:hAnsi="Montserrat" w:cs="Calibri"/>
          <w:b/>
          <w:bCs/>
          <w:sz w:val="20"/>
          <w:szCs w:val="20"/>
        </w:rPr>
        <w:t xml:space="preserve"> maschile</w:t>
      </w:r>
      <w:r w:rsidRPr="00F85F27">
        <w:rPr>
          <w:rStyle w:val="normaltextrun"/>
          <w:rFonts w:ascii="Montserrat" w:hAnsi="Montserrat" w:cs="Calibri"/>
          <w:sz w:val="20"/>
          <w:szCs w:val="20"/>
        </w:rPr>
        <w:t>, nella seconda metà dell’anno.</w:t>
      </w:r>
    </w:p>
    <w:p w14:paraId="4BC77C8C" w14:textId="3F01D71C" w:rsidR="00BA0B8D" w:rsidRDefault="00BA0B8D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7A235D24" w14:textId="77777777" w:rsidR="00BA0B8D" w:rsidRPr="00F85F27" w:rsidRDefault="00BA0B8D" w:rsidP="00E62407">
      <w:pPr>
        <w:pStyle w:val="Nessunaspaziatura"/>
        <w:rPr>
          <w:rFonts w:ascii="Montserrat" w:hAnsi="Montserrat" w:cs="Arial"/>
          <w:sz w:val="20"/>
          <w:szCs w:val="20"/>
        </w:rPr>
      </w:pPr>
    </w:p>
    <w:p w14:paraId="69047799" w14:textId="56EE7F55" w:rsidR="008676AD" w:rsidRPr="008676AD" w:rsidRDefault="008676AD" w:rsidP="008676AD">
      <w:pPr>
        <w:rPr>
          <w:rFonts w:ascii="Montserrat" w:hAnsi="Montserrat"/>
          <w:sz w:val="18"/>
          <w:szCs w:val="18"/>
        </w:rPr>
      </w:pPr>
      <w:r w:rsidRPr="008676AD">
        <w:rPr>
          <w:rFonts w:ascii="Montserrat" w:hAnsi="Montserrat"/>
          <w:sz w:val="18"/>
          <w:szCs w:val="18"/>
        </w:rPr>
        <w:t xml:space="preserve">Fondata nel 1937 a Milano, Mapei oggi conta </w:t>
      </w:r>
      <w:r w:rsidR="00B908ED">
        <w:rPr>
          <w:rFonts w:ascii="Montserrat" w:hAnsi="Montserrat"/>
          <w:sz w:val="18"/>
          <w:szCs w:val="18"/>
        </w:rPr>
        <w:t>90</w:t>
      </w:r>
      <w:r w:rsidRPr="008676AD">
        <w:rPr>
          <w:rFonts w:ascii="Montserrat" w:hAnsi="Montserrat"/>
          <w:sz w:val="18"/>
          <w:szCs w:val="18"/>
        </w:rPr>
        <w:t xml:space="preserve"> consociate, inclusa la capogruppo, in </w:t>
      </w:r>
      <w:r w:rsidR="00B908ED">
        <w:rPr>
          <w:rFonts w:ascii="Montserrat" w:hAnsi="Montserrat"/>
          <w:sz w:val="18"/>
          <w:szCs w:val="18"/>
        </w:rPr>
        <w:t>57</w:t>
      </w:r>
      <w:r w:rsidRPr="008676AD">
        <w:rPr>
          <w:rFonts w:ascii="Montserrat" w:hAnsi="Montserrat"/>
          <w:sz w:val="18"/>
          <w:szCs w:val="18"/>
        </w:rPr>
        <w:t xml:space="preserve"> paesi e 83 stabilimenti produttivi in 36 paesi nei cinque continenti con un fatturato consolidato </w:t>
      </w:r>
      <w:r w:rsidR="00B908ED">
        <w:rPr>
          <w:rFonts w:ascii="Montserrat" w:hAnsi="Montserrat"/>
          <w:sz w:val="18"/>
          <w:szCs w:val="18"/>
        </w:rPr>
        <w:t xml:space="preserve">presunto </w:t>
      </w:r>
      <w:r w:rsidRPr="008676AD">
        <w:rPr>
          <w:rFonts w:ascii="Montserrat" w:hAnsi="Montserrat"/>
          <w:sz w:val="18"/>
          <w:szCs w:val="18"/>
        </w:rPr>
        <w:t>201</w:t>
      </w:r>
      <w:r w:rsidR="00B908ED">
        <w:rPr>
          <w:rFonts w:ascii="Montserrat" w:hAnsi="Montserrat"/>
          <w:sz w:val="18"/>
          <w:szCs w:val="18"/>
        </w:rPr>
        <w:t>9</w:t>
      </w:r>
      <w:r w:rsidRPr="008676AD">
        <w:rPr>
          <w:rFonts w:ascii="Montserrat" w:hAnsi="Montserrat"/>
          <w:sz w:val="18"/>
          <w:szCs w:val="18"/>
        </w:rPr>
        <w:t xml:space="preserve"> di 2,</w:t>
      </w:r>
      <w:r w:rsidR="00641CE1">
        <w:rPr>
          <w:rFonts w:ascii="Montserrat" w:hAnsi="Montserrat"/>
          <w:sz w:val="18"/>
          <w:szCs w:val="18"/>
        </w:rPr>
        <w:t>8</w:t>
      </w:r>
      <w:bookmarkStart w:id="0" w:name="_GoBack"/>
      <w:bookmarkEnd w:id="0"/>
      <w:r w:rsidRPr="008676AD">
        <w:rPr>
          <w:rFonts w:ascii="Montserrat" w:hAnsi="Montserrat"/>
          <w:sz w:val="18"/>
          <w:szCs w:val="18"/>
        </w:rPr>
        <w:t xml:space="preserve"> Miliardi di € e oltre 10.500 dipendenti nel mondo. </w:t>
      </w:r>
    </w:p>
    <w:p w14:paraId="6B6D1992" w14:textId="77777777" w:rsidR="008676AD" w:rsidRPr="008676AD" w:rsidRDefault="008676AD" w:rsidP="008676AD">
      <w:pPr>
        <w:rPr>
          <w:rFonts w:ascii="Montserrat" w:hAnsi="Montserrat"/>
          <w:sz w:val="18"/>
          <w:szCs w:val="18"/>
        </w:rPr>
      </w:pPr>
      <w:r w:rsidRPr="008676AD">
        <w:rPr>
          <w:rFonts w:ascii="Montserrat" w:hAnsi="Montserrat"/>
          <w:sz w:val="18"/>
          <w:szCs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  <w:r w:rsidRPr="008676AD">
        <w:rPr>
          <w:rFonts w:ascii="Times New Roman" w:hAnsi="Times New Roman"/>
          <w:sz w:val="18"/>
          <w:szCs w:val="18"/>
        </w:rPr>
        <w:t> </w:t>
      </w:r>
      <w:r w:rsidRPr="008676AD">
        <w:rPr>
          <w:rFonts w:ascii="Montserrat" w:hAnsi="Montserrat"/>
          <w:sz w:val="18"/>
          <w:szCs w:val="18"/>
        </w:rPr>
        <w:t xml:space="preserve"> Da sempre attenta al suo impatto sull’ambiente e la società, nel tempo Mapei ha affiancato alle tre linee guida la Sostenibilità come driver essenziale per il continuo sviluppo aziendale. </w:t>
      </w:r>
    </w:p>
    <w:p w14:paraId="537AF2F2" w14:textId="77777777" w:rsidR="008676AD" w:rsidRPr="008676AD" w:rsidRDefault="008676AD" w:rsidP="008676AD">
      <w:pPr>
        <w:rPr>
          <w:rFonts w:ascii="Montserrat" w:hAnsi="Montserrat"/>
          <w:sz w:val="18"/>
          <w:szCs w:val="18"/>
        </w:rPr>
      </w:pPr>
      <w:r w:rsidRPr="008676AD">
        <w:rPr>
          <w:rFonts w:ascii="Montserrat" w:hAnsi="Montserrat"/>
          <w:sz w:val="18"/>
          <w:szCs w:val="18"/>
        </w:rPr>
        <w:t> </w:t>
      </w:r>
    </w:p>
    <w:p w14:paraId="3F8AFEC6" w14:textId="35191948" w:rsidR="00AB4C67" w:rsidRPr="00BA0B8D" w:rsidRDefault="008676AD" w:rsidP="00BF3206">
      <w:pPr>
        <w:rPr>
          <w:rFonts w:ascii="Montserrat" w:hAnsi="Montserrat"/>
          <w:sz w:val="18"/>
          <w:szCs w:val="18"/>
        </w:rPr>
      </w:pPr>
      <w:r w:rsidRPr="008676AD">
        <w:rPr>
          <w:rFonts w:ascii="Montserrat" w:hAnsi="Montserrat"/>
          <w:i/>
          <w:iCs/>
          <w:sz w:val="18"/>
          <w:szCs w:val="18"/>
        </w:rPr>
        <w:t>Marzo 2020</w:t>
      </w:r>
      <w:r w:rsidRPr="008676AD">
        <w:rPr>
          <w:rFonts w:ascii="Montserrat" w:hAnsi="Montserrat"/>
          <w:sz w:val="18"/>
          <w:szCs w:val="18"/>
        </w:rPr>
        <w:t> </w:t>
      </w:r>
    </w:p>
    <w:sectPr w:rsidR="00AB4C67" w:rsidRPr="00BA0B8D" w:rsidSect="005130D0">
      <w:headerReference w:type="default" r:id="rId11"/>
      <w:footerReference w:type="default" r:id="rId12"/>
      <w:pgSz w:w="11900" w:h="16840" w:code="9"/>
      <w:pgMar w:top="1417" w:right="1134" w:bottom="1134" w:left="1134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D5BE" w14:textId="77777777" w:rsidR="00224BB2" w:rsidRDefault="00224BB2">
      <w:r>
        <w:separator/>
      </w:r>
    </w:p>
  </w:endnote>
  <w:endnote w:type="continuationSeparator" w:id="0">
    <w:p w14:paraId="188A7BCE" w14:textId="77777777" w:rsidR="00224BB2" w:rsidRDefault="0022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3D54134-DE96-FD49-9EA0-2A52B4FFCD0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7 Cn L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FECC" w14:textId="77777777" w:rsidR="00EF4874" w:rsidRDefault="00EF4874" w:rsidP="00EF4874">
    <w:pPr>
      <w:pStyle w:val="Pidipagina"/>
    </w:pPr>
  </w:p>
  <w:p w14:paraId="3F8AFECD" w14:textId="77777777"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3F8AFED0" wp14:editId="3F8AFED1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E3A6" w14:textId="77777777" w:rsidR="00224BB2" w:rsidRDefault="00224BB2">
      <w:r>
        <w:separator/>
      </w:r>
    </w:p>
  </w:footnote>
  <w:footnote w:type="continuationSeparator" w:id="0">
    <w:p w14:paraId="5759D50C" w14:textId="77777777" w:rsidR="00224BB2" w:rsidRDefault="0022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FECB" w14:textId="77777777"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3F8AFECE" wp14:editId="3F8AFECF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7"/>
  </w:num>
  <w:num w:numId="5">
    <w:abstractNumId w:val="29"/>
  </w:num>
  <w:num w:numId="6">
    <w:abstractNumId w:val="15"/>
  </w:num>
  <w:num w:numId="7">
    <w:abstractNumId w:val="4"/>
  </w:num>
  <w:num w:numId="8">
    <w:abstractNumId w:val="20"/>
  </w:num>
  <w:num w:numId="9">
    <w:abstractNumId w:val="28"/>
  </w:num>
  <w:num w:numId="10">
    <w:abstractNumId w:val="22"/>
  </w:num>
  <w:num w:numId="11">
    <w:abstractNumId w:val="0"/>
  </w:num>
  <w:num w:numId="12">
    <w:abstractNumId w:val="25"/>
  </w:num>
  <w:num w:numId="13">
    <w:abstractNumId w:val="18"/>
  </w:num>
  <w:num w:numId="14">
    <w:abstractNumId w:val="24"/>
  </w:num>
  <w:num w:numId="15">
    <w:abstractNumId w:val="14"/>
  </w:num>
  <w:num w:numId="16">
    <w:abstractNumId w:val="26"/>
  </w:num>
  <w:num w:numId="17">
    <w:abstractNumId w:val="7"/>
  </w:num>
  <w:num w:numId="18">
    <w:abstractNumId w:val="9"/>
  </w:num>
  <w:num w:numId="19">
    <w:abstractNumId w:val="23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1"/>
  </w:num>
  <w:num w:numId="25">
    <w:abstractNumId w:val="12"/>
  </w:num>
  <w:num w:numId="26">
    <w:abstractNumId w:val="10"/>
  </w:num>
  <w:num w:numId="27">
    <w:abstractNumId w:val="1"/>
  </w:num>
  <w:num w:numId="28">
    <w:abstractNumId w:val="17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4D19"/>
    <w:rsid w:val="000F56DB"/>
    <w:rsid w:val="00100EAE"/>
    <w:rsid w:val="0010609B"/>
    <w:rsid w:val="00116A40"/>
    <w:rsid w:val="0012500F"/>
    <w:rsid w:val="00161BA8"/>
    <w:rsid w:val="00171FE3"/>
    <w:rsid w:val="001738EE"/>
    <w:rsid w:val="001757C8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4BB2"/>
    <w:rsid w:val="0022706C"/>
    <w:rsid w:val="0023014F"/>
    <w:rsid w:val="00240E19"/>
    <w:rsid w:val="00246F49"/>
    <w:rsid w:val="0025075F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45CC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3C6B"/>
    <w:rsid w:val="002F4F75"/>
    <w:rsid w:val="002F5DFC"/>
    <w:rsid w:val="002F6820"/>
    <w:rsid w:val="003011D7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388C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B60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4E613C"/>
    <w:rsid w:val="0050498E"/>
    <w:rsid w:val="00510DF1"/>
    <w:rsid w:val="005130D0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52AA3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05EF8"/>
    <w:rsid w:val="0061234C"/>
    <w:rsid w:val="006130A1"/>
    <w:rsid w:val="00621DFD"/>
    <w:rsid w:val="006235DE"/>
    <w:rsid w:val="00624DF1"/>
    <w:rsid w:val="0062779A"/>
    <w:rsid w:val="00641CE1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4AB2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676AD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31C3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0465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1D2A"/>
    <w:rsid w:val="00AD63E3"/>
    <w:rsid w:val="00AD7DCE"/>
    <w:rsid w:val="00AE185E"/>
    <w:rsid w:val="00AF0018"/>
    <w:rsid w:val="00B07A37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66B66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08ED"/>
    <w:rsid w:val="00B96A41"/>
    <w:rsid w:val="00BA0B8D"/>
    <w:rsid w:val="00BB2130"/>
    <w:rsid w:val="00BB6625"/>
    <w:rsid w:val="00BB7A57"/>
    <w:rsid w:val="00BC7AEB"/>
    <w:rsid w:val="00BD44A8"/>
    <w:rsid w:val="00BD60E3"/>
    <w:rsid w:val="00BE09AE"/>
    <w:rsid w:val="00BF3206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5765B"/>
    <w:rsid w:val="00D609E4"/>
    <w:rsid w:val="00D62217"/>
    <w:rsid w:val="00D65522"/>
    <w:rsid w:val="00D70A7C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3553D"/>
    <w:rsid w:val="00E4237B"/>
    <w:rsid w:val="00E44095"/>
    <w:rsid w:val="00E46CB8"/>
    <w:rsid w:val="00E53A87"/>
    <w:rsid w:val="00E61C4C"/>
    <w:rsid w:val="00E62407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5F27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8AFEAE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e"/>
    <w:rsid w:val="00BF32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BF3206"/>
  </w:style>
  <w:style w:type="character" w:customStyle="1" w:styleId="apple-converted-space">
    <w:name w:val="apple-converted-space"/>
    <w:basedOn w:val="Carpredefinitoparagrafo"/>
    <w:rsid w:val="00BF3206"/>
  </w:style>
  <w:style w:type="character" w:customStyle="1" w:styleId="eop">
    <w:name w:val="eop"/>
    <w:basedOn w:val="Carpredefinitoparagrafo"/>
    <w:rsid w:val="00BF3206"/>
  </w:style>
  <w:style w:type="character" w:customStyle="1" w:styleId="spellingerror">
    <w:name w:val="spellingerror"/>
    <w:basedOn w:val="Carpredefinitoparagrafo"/>
    <w:rsid w:val="00BF3206"/>
  </w:style>
  <w:style w:type="character" w:customStyle="1" w:styleId="scxw93552011">
    <w:name w:val="scxw93552011"/>
    <w:basedOn w:val="Carpredefinitoparagrafo"/>
    <w:rsid w:val="00BF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FB7658BD9BA46BA45366B81B82052" ma:contentTypeVersion="12" ma:contentTypeDescription="Creare un nuovo documento." ma:contentTypeScope="" ma:versionID="89d324df4bf544a28da758bfb977e594">
  <xsd:schema xmlns:xsd="http://www.w3.org/2001/XMLSchema" xmlns:xs="http://www.w3.org/2001/XMLSchema" xmlns:p="http://schemas.microsoft.com/office/2006/metadata/properties" xmlns:ns2="e3a36da5-8ee2-49ad-ae2a-20bf54c955a8" xmlns:ns3="749ad458-dfc7-454e-add1-fa82338fb685" targetNamespace="http://schemas.microsoft.com/office/2006/metadata/properties" ma:root="true" ma:fieldsID="0001d09c1cd12a1f5fe9b2f6ab433dc9" ns2:_="" ns3:_="">
    <xsd:import namespace="e3a36da5-8ee2-49ad-ae2a-20bf54c955a8"/>
    <xsd:import namespace="749ad458-dfc7-454e-add1-fa82338fb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6da5-8ee2-49ad-ae2a-20bf54c9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d458-dfc7-454e-add1-fa82338fb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69F9-17C2-4950-B616-662A927E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36da5-8ee2-49ad-ae2a-20bf54c955a8"/>
    <ds:schemaRef ds:uri="749ad458-dfc7-454e-add1-fa82338fb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0E7B8-36BB-491A-B9CB-0AA3FDF6C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9C26-8955-4000-B0BA-3D3D63A5F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965FA5-93FD-3044-A262-52FD7981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17</cp:revision>
  <cp:lastPrinted>2020-02-04T13:25:00Z</cp:lastPrinted>
  <dcterms:created xsi:type="dcterms:W3CDTF">2020-03-11T08:49:00Z</dcterms:created>
  <dcterms:modified xsi:type="dcterms:W3CDTF">2020-03-11T09:10:00Z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0x01010038FFB7658BD9BA46BA45366B81B82052</vt:lpwstr>
  </property>
</Properties>
</file>